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94689" cy="24643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689" cy="24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54"/>
        <w:ind w:left="2427" w:right="2413" w:firstLine="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中 国 船 级 社</w:t>
      </w:r>
    </w:p>
    <w:p>
      <w:pPr>
        <w:pStyle w:val="BodyText"/>
        <w:rPr>
          <w:rFonts w:ascii="黑体"/>
          <w:sz w:val="32"/>
        </w:rPr>
      </w:pPr>
    </w:p>
    <w:p>
      <w:pPr>
        <w:pStyle w:val="BodyText"/>
        <w:rPr>
          <w:rFonts w:ascii="黑体"/>
          <w:sz w:val="32"/>
        </w:rPr>
      </w:pPr>
    </w:p>
    <w:p>
      <w:pPr>
        <w:pStyle w:val="BodyText"/>
        <w:spacing w:before="9"/>
        <w:rPr>
          <w:rFonts w:ascii="黑体"/>
          <w:sz w:val="27"/>
        </w:rPr>
      </w:pPr>
    </w:p>
    <w:p>
      <w:pPr>
        <w:spacing w:before="1"/>
        <w:ind w:left="2427" w:right="2428" w:firstLine="0"/>
        <w:jc w:val="center"/>
        <w:rPr>
          <w:b/>
          <w:sz w:val="52"/>
        </w:rPr>
      </w:pPr>
      <w:r>
        <w:rPr>
          <w:b/>
          <w:sz w:val="52"/>
        </w:rPr>
        <w:t>材料与焊接规范</w:t>
      </w:r>
    </w:p>
    <w:p>
      <w:pPr>
        <w:pStyle w:val="BodyText"/>
        <w:spacing w:before="7"/>
        <w:rPr>
          <w:b/>
          <w:sz w:val="63"/>
        </w:rPr>
      </w:pPr>
    </w:p>
    <w:p>
      <w:pPr>
        <w:spacing w:before="0"/>
        <w:ind w:left="2427" w:right="2427" w:firstLine="0"/>
        <w:jc w:val="center"/>
        <w:rPr>
          <w:sz w:val="40"/>
        </w:rPr>
      </w:pPr>
      <w:r>
        <w:rPr>
          <w:sz w:val="40"/>
        </w:rPr>
        <w:t>变更通告</w:t>
      </w:r>
    </w:p>
    <w:p>
      <w:pPr>
        <w:pStyle w:val="BodyText"/>
        <w:rPr>
          <w:sz w:val="40"/>
        </w:rPr>
      </w:pPr>
    </w:p>
    <w:p>
      <w:pPr>
        <w:spacing w:before="277"/>
        <w:ind w:left="2427" w:right="2427" w:firstLine="0"/>
        <w:jc w:val="center"/>
        <w:rPr>
          <w:b/>
          <w:sz w:val="32"/>
        </w:rPr>
      </w:pPr>
      <w:r>
        <w:rPr>
          <w:rFonts w:ascii="Times New Roman" w:eastAsia="Times New Roman"/>
          <w:b/>
          <w:sz w:val="32"/>
        </w:rPr>
        <w:t>2023 </w:t>
      </w:r>
      <w:r>
        <w:rPr>
          <w:b/>
          <w:sz w:val="32"/>
        </w:rPr>
        <w:t>年第 </w:t>
      </w:r>
      <w:r>
        <w:rPr>
          <w:rFonts w:ascii="Times New Roman" w:eastAsia="Times New Roman"/>
          <w:b/>
          <w:sz w:val="32"/>
        </w:rPr>
        <w:t>1 </w:t>
      </w:r>
      <w:r>
        <w:rPr>
          <w:b/>
          <w:sz w:val="32"/>
        </w:rPr>
        <w:t>次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6"/>
        <w:rPr>
          <w:b/>
          <w:sz w:val="41"/>
        </w:rPr>
      </w:pPr>
    </w:p>
    <w:p>
      <w:pPr>
        <w:spacing w:before="0"/>
        <w:ind w:left="2427" w:right="2427" w:firstLine="0"/>
        <w:jc w:val="center"/>
        <w:rPr>
          <w:b/>
          <w:sz w:val="32"/>
        </w:rPr>
      </w:pPr>
      <w:r>
        <w:rPr>
          <w:rFonts w:ascii="Times New Roman" w:eastAsia="Times New Roman"/>
          <w:b/>
          <w:sz w:val="32"/>
        </w:rPr>
        <w:t>2024 </w:t>
      </w:r>
      <w:r>
        <w:rPr>
          <w:b/>
          <w:sz w:val="32"/>
        </w:rPr>
        <w:t>年 </w:t>
      </w:r>
      <w:r>
        <w:rPr>
          <w:rFonts w:ascii="Times New Roman" w:eastAsia="Times New Roman"/>
          <w:b/>
          <w:sz w:val="32"/>
        </w:rPr>
        <w:t>1 </w:t>
      </w:r>
      <w:r>
        <w:rPr>
          <w:b/>
          <w:sz w:val="32"/>
        </w:rPr>
        <w:t>月 </w:t>
      </w:r>
      <w:r>
        <w:rPr>
          <w:rFonts w:ascii="Times New Roman" w:eastAsia="Times New Roman"/>
          <w:b/>
          <w:sz w:val="32"/>
        </w:rPr>
        <w:t>1 </w:t>
      </w:r>
      <w:r>
        <w:rPr>
          <w:b/>
          <w:sz w:val="32"/>
        </w:rPr>
        <w:t>日生效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2427" w:right="2428" w:firstLine="0"/>
        <w:jc w:val="center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北 京</w:t>
      </w:r>
    </w:p>
    <w:p>
      <w:pPr>
        <w:spacing w:after="0"/>
        <w:jc w:val="center"/>
        <w:rPr>
          <w:rFonts w:ascii="黑体" w:eastAsia="黑体" w:hint="eastAsia"/>
          <w:sz w:val="28"/>
        </w:rPr>
        <w:sectPr>
          <w:type w:val="continuous"/>
          <w:pgSz w:w="11910" w:h="16840"/>
          <w:pgMar w:top="1520" w:bottom="280" w:left="1680" w:right="1680"/>
        </w:sectPr>
      </w:pPr>
    </w:p>
    <w:p>
      <w:pPr>
        <w:spacing w:before="30"/>
        <w:ind w:left="2426" w:right="2428" w:firstLine="0"/>
        <w:jc w:val="center"/>
        <w:rPr>
          <w:b/>
          <w:sz w:val="32"/>
        </w:rPr>
      </w:pPr>
      <w:r>
        <w:rPr>
          <w:b/>
          <w:sz w:val="32"/>
        </w:rPr>
        <w:t>目录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9" w:val="left" w:leader="none"/>
              <w:tab w:pos="8425" w:val="right" w:leader="dot"/>
            </w:tabs>
            <w:rPr>
              <w:rFonts w:ascii="Times New Roman" w:eastAsia="Times New Roman"/>
            </w:rPr>
          </w:pPr>
          <w:r>
            <w:fldChar w:fldCharType="begin"/>
          </w:r>
          <w:r>
            <w:instrText>TOC \o "1-3" \h \z \u </w:instrText>
          </w:r>
          <w:r>
            <w:fldChar w:fldCharType="separate"/>
          </w:r>
          <w:hyperlink w:history="true" w:anchor="_bookmark0">
            <w:r>
              <w:rPr/>
              <w:t>第</w:t>
            </w:r>
            <w:r>
              <w:rPr>
                <w:spacing w:val="-54"/>
              </w:rPr>
              <w:t> </w:t>
            </w:r>
            <w:r>
              <w:rPr>
                <w:rFonts w:ascii="Times New Roman" w:eastAsia="Times New Roman"/>
              </w:rPr>
              <w:t>1 </w:t>
            </w:r>
            <w:r>
              <w:rPr/>
              <w:t>篇</w:t>
              <w:tab/>
              <w:t>金属材料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2"/>
            <w:tabs>
              <w:tab w:pos="1379" w:val="left" w:leader="none"/>
              <w:tab w:pos="8425" w:val="right" w:leader="dot"/>
            </w:tabs>
            <w:rPr>
              <w:rFonts w:ascii="Times New Roman" w:eastAsia="Times New Roman"/>
            </w:rPr>
          </w:pPr>
          <w:hyperlink w:history="true" w:anchor="_bookmark1">
            <w:r>
              <w:rPr/>
              <w:t>第</w:t>
            </w:r>
            <w:r>
              <w:rPr>
                <w:spacing w:val="-54"/>
              </w:rPr>
              <w:t> </w:t>
            </w:r>
            <w:r>
              <w:rPr>
                <w:rFonts w:ascii="Times New Roman" w:eastAsia="Times New Roman"/>
              </w:rPr>
              <w:t>2 </w:t>
            </w:r>
            <w:r>
              <w:rPr/>
              <w:t>章</w:t>
              <w:tab/>
              <w:t>材料的性能试验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3"/>
            <w:tabs>
              <w:tab w:pos="1799" w:val="left" w:leader="none"/>
              <w:tab w:pos="8425" w:val="right" w:leader="dot"/>
            </w:tabs>
            <w:rPr>
              <w:rFonts w:ascii="Times New Roman" w:eastAsia="Times New Roman"/>
            </w:rPr>
          </w:pPr>
          <w:hyperlink w:history="true" w:anchor="_bookmark2">
            <w:r>
              <w:rPr/>
              <w:t>第</w:t>
            </w:r>
            <w:r>
              <w:rPr>
                <w:spacing w:val="-54"/>
              </w:rPr>
              <w:t> </w:t>
            </w:r>
            <w:r>
              <w:rPr>
                <w:rFonts w:ascii="Times New Roman" w:eastAsia="Times New Roman"/>
              </w:rPr>
              <w:t>9 </w:t>
            </w:r>
            <w:r>
              <w:rPr/>
              <w:t>节</w:t>
              <w:tab/>
              <w:t>双相不锈钢点蚀试验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2"/>
            <w:tabs>
              <w:tab w:pos="1379" w:val="left" w:leader="none"/>
              <w:tab w:pos="8425" w:val="right" w:leader="dot"/>
            </w:tabs>
            <w:rPr>
              <w:rFonts w:ascii="Times New Roman" w:eastAsia="Times New Roman"/>
            </w:rPr>
          </w:pPr>
          <w:hyperlink w:history="true" w:anchor="_bookmark3">
            <w:r>
              <w:rPr/>
              <w:t>第</w:t>
            </w:r>
            <w:r>
              <w:rPr>
                <w:spacing w:val="-54"/>
              </w:rPr>
              <w:t> </w:t>
            </w:r>
            <w:r>
              <w:rPr>
                <w:rFonts w:ascii="Times New Roman" w:eastAsia="Times New Roman"/>
              </w:rPr>
              <w:t>3 </w:t>
            </w:r>
            <w:r>
              <w:rPr/>
              <w:t>章</w:t>
              <w:tab/>
              <w:t>钢板、扁钢与型钢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>
            <w:pStyle w:val="TOC3"/>
            <w:tabs>
              <w:tab w:pos="1799" w:val="left" w:leader="none"/>
              <w:tab w:pos="8425" w:val="right" w:leader="dot"/>
            </w:tabs>
            <w:rPr>
              <w:rFonts w:ascii="Times New Roman" w:eastAsia="Times New Roman"/>
            </w:rPr>
          </w:pPr>
          <w:hyperlink w:history="true" w:anchor="_bookmark4">
            <w:r>
              <w:rPr/>
              <w:t>第</w:t>
            </w:r>
            <w:r>
              <w:rPr>
                <w:spacing w:val="-54"/>
              </w:rPr>
              <w:t> </w:t>
            </w:r>
            <w:r>
              <w:rPr>
                <w:rFonts w:ascii="Times New Roman" w:eastAsia="Times New Roman"/>
              </w:rPr>
              <w:t>8 </w:t>
            </w:r>
            <w:r>
              <w:rPr/>
              <w:t>节</w:t>
              <w:tab/>
              <w:t>奥氏体不锈钢和双相不锈钢</w:t>
            </w:r>
            <w:r>
              <w:rPr>
                <w:rFonts w:ascii="Times New Roman" w:eastAsia="Times New Roman"/>
              </w:rPr>
              <w:tab/>
              <w:t>1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top="1500" w:bottom="280" w:left="1680" w:right="1680"/>
        </w:sectPr>
      </w:pPr>
    </w:p>
    <w:p>
      <w:pPr>
        <w:pStyle w:val="Heading1"/>
        <w:tabs>
          <w:tab w:pos="2086" w:val="left" w:leader="none"/>
        </w:tabs>
        <w:spacing w:before="15"/>
      </w:pPr>
      <w:bookmarkStart w:name="第1篇  金属材料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第</w:t>
      </w:r>
      <w:r>
        <w:rPr>
          <w:spacing w:val="-132"/>
        </w:rPr>
        <w:t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"/>
        </w:rPr>
        <w:t> </w:t>
      </w:r>
      <w:r>
        <w:rPr/>
        <w:t>篇</w:t>
        <w:tab/>
        <w:t>金属材料</w:t>
      </w:r>
    </w:p>
    <w:p>
      <w:pPr>
        <w:pStyle w:val="Heading2"/>
        <w:tabs>
          <w:tab w:pos="1279" w:val="left" w:leader="none"/>
        </w:tabs>
        <w:spacing w:before="245"/>
      </w:pPr>
      <w:bookmarkStart w:name="第2章  材料的性能试验" w:id="3"/>
      <w:bookmarkEnd w:id="3"/>
      <w:r>
        <w:rPr/>
      </w:r>
      <w:bookmarkStart w:name="_bookmark1" w:id="4"/>
      <w:bookmarkEnd w:id="4"/>
      <w:r>
        <w:rPr/>
      </w:r>
      <w:r>
        <w:rPr/>
        <w:t>第</w:t>
      </w:r>
      <w:r>
        <w:rPr>
          <w:spacing w:val="-80"/>
        </w:rPr>
        <w:t> </w:t>
      </w:r>
      <w:r>
        <w:rPr/>
        <w:t>2</w:t>
      </w:r>
      <w:r>
        <w:rPr>
          <w:spacing w:val="-81"/>
        </w:rPr>
        <w:t> </w:t>
      </w:r>
      <w:r>
        <w:rPr/>
        <w:t>章</w:t>
        <w:tab/>
        <w:t>材料的性能试验</w:t>
      </w:r>
    </w:p>
    <w:p>
      <w:pPr>
        <w:pStyle w:val="BodyText"/>
        <w:rPr>
          <w:rFonts w:ascii="黑体"/>
          <w:sz w:val="43"/>
        </w:rPr>
      </w:pPr>
    </w:p>
    <w:p>
      <w:pPr>
        <w:pStyle w:val="Heading3"/>
        <w:tabs>
          <w:tab w:pos="1121" w:val="left" w:leader="none"/>
        </w:tabs>
      </w:pPr>
      <w:bookmarkStart w:name="第9节  双相不锈钢点蚀试验" w:id="5"/>
      <w:bookmarkEnd w:id="5"/>
      <w:r>
        <w:rPr/>
      </w:r>
      <w:bookmarkStart w:name="_bookmark2" w:id="6"/>
      <w:bookmarkEnd w:id="6"/>
      <w:r>
        <w:rPr/>
      </w:r>
      <w:r>
        <w:rPr/>
        <w:t>第</w:t>
      </w:r>
      <w:r>
        <w:rPr>
          <w:spacing w:val="-71"/>
        </w:rPr>
        <w:t>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1"/>
        </w:rPr>
        <w:t> </w:t>
      </w:r>
      <w:r>
        <w:rPr/>
        <w:t>节</w:t>
        <w:tab/>
        <w:t>双</w:t>
      </w:r>
      <w:r>
        <w:rPr>
          <w:spacing w:val="-3"/>
        </w:rPr>
        <w:t>相</w:t>
      </w:r>
      <w:r>
        <w:rPr/>
        <w:t>不锈</w:t>
      </w:r>
      <w:r>
        <w:rPr>
          <w:spacing w:val="-3"/>
        </w:rPr>
        <w:t>钢</w:t>
      </w:r>
      <w:r>
        <w:rPr/>
        <w:t>点蚀</w:t>
      </w:r>
      <w:r>
        <w:rPr>
          <w:spacing w:val="-3"/>
        </w:rPr>
        <w:t>试</w:t>
      </w:r>
      <w:r>
        <w:rPr/>
        <w:t>验</w:t>
      </w:r>
    </w:p>
    <w:p>
      <w:pPr>
        <w:pStyle w:val="BodyText"/>
        <w:spacing w:before="4"/>
        <w:rPr>
          <w:rFonts w:ascii="楷体_GB2312"/>
          <w:sz w:val="36"/>
        </w:rPr>
      </w:pPr>
    </w:p>
    <w:p>
      <w:pPr>
        <w:pStyle w:val="BodyText"/>
        <w:tabs>
          <w:tab w:pos="1329" w:val="left" w:leader="none"/>
        </w:tabs>
        <w:spacing w:line="278" w:lineRule="auto"/>
        <w:ind w:left="120" w:right="117" w:firstLine="420"/>
      </w:pPr>
      <w:r>
        <w:rPr>
          <w:rFonts w:ascii="Times New Roman" w:eastAsia="Times New Roman"/>
        </w:rPr>
        <w:t>2.9.1.2</w:t>
        <w:tab/>
      </w:r>
      <w:r>
        <w:rPr/>
        <w:t>本规范未规定的节镍型双相不锈钢（</w:t>
      </w:r>
      <w:r>
        <w:rPr>
          <w:rFonts w:ascii="Times New Roman" w:eastAsia="Times New Roman"/>
        </w:rPr>
        <w:t>Ni</w:t>
      </w:r>
      <w:r>
        <w:rPr>
          <w:rFonts w:ascii="Times New Roman" w:eastAsia="Times New Roman"/>
          <w:spacing w:val="11"/>
        </w:rPr>
        <w:t> </w:t>
      </w:r>
      <w:r>
        <w:rPr>
          <w:spacing w:val="-6"/>
        </w:rPr>
        <w:t>含量通常低于 </w:t>
      </w:r>
      <w:r>
        <w:rPr>
          <w:rFonts w:ascii="Times New Roman" w:eastAsia="Times New Roman"/>
        </w:rPr>
        <w:t>2.5%</w:t>
      </w:r>
      <w:r>
        <w:rPr/>
        <w:t>）成品及焊接接头的点蚀试验</w:t>
      </w:r>
      <w:r>
        <w:rPr>
          <w:strike/>
          <w:color w:val="0000FF"/>
          <w:spacing w:val="-20"/>
        </w:rPr>
        <w:t>，经 </w:t>
      </w:r>
      <w:r>
        <w:rPr>
          <w:rFonts w:ascii="Times New Roman" w:eastAsia="Times New Roman"/>
          <w:strike/>
          <w:color w:val="0000FF"/>
        </w:rPr>
        <w:t>CCS</w:t>
      </w:r>
      <w:r>
        <w:rPr>
          <w:rFonts w:ascii="Times New Roman" w:eastAsia="Times New Roman"/>
          <w:strike/>
          <w:color w:val="0000FF"/>
          <w:spacing w:val="-4"/>
        </w:rPr>
        <w:t> </w:t>
      </w:r>
      <w:r>
        <w:rPr>
          <w:strike/>
          <w:color w:val="0000FF"/>
        </w:rPr>
        <w:t>同意，</w:t>
      </w:r>
      <w:r>
        <w:rPr>
          <w:strike w:val="0"/>
        </w:rPr>
        <w:t>可按照</w:t>
      </w:r>
      <w:r>
        <w:rPr>
          <w:rFonts w:ascii="Times New Roman" w:eastAsia="Times New Roman"/>
          <w:strike w:val="0"/>
          <w:color w:val="0000FF"/>
          <w:spacing w:val="-59"/>
        </w:rPr>
        <w:t> </w:t>
      </w:r>
      <w:r>
        <w:rPr>
          <w:rFonts w:ascii="Times New Roman" w:eastAsia="Times New Roman"/>
          <w:strike w:val="0"/>
          <w:color w:val="0000FF"/>
          <w:u w:val="single" w:color="0000FF"/>
        </w:rPr>
        <w:t>CCS</w:t>
      </w:r>
      <w:r>
        <w:rPr>
          <w:strike w:val="0"/>
          <w:color w:val="0000FF"/>
          <w:u w:val="single" w:color="0000FF"/>
        </w:rPr>
        <w:t>《节镍双相不锈钢检验指南》的要求</w:t>
      </w:r>
      <w:r>
        <w:rPr>
          <w:strike/>
          <w:color w:val="0000FF"/>
        </w:rPr>
        <w:t>相关公认标准</w:t>
      </w:r>
    </w:p>
    <w:p>
      <w:pPr>
        <w:pStyle w:val="BodyText"/>
        <w:spacing w:line="278" w:lineRule="auto"/>
        <w:ind w:left="120" w:right="40"/>
      </w:pPr>
      <w:r>
        <w:rPr/>
        <w:pict>
          <v:group style="position:absolute;margin-left:262.299988pt;margin-top:7.28998pt;width:243pt;height:1.05pt;mso-position-horizontal-relative:page;mso-position-vertical-relative:paragraph;z-index:-15795200" coordorigin="5246,146" coordsize="4860,21">
            <v:line style="position:absolute" from="5246,161" to="5299,161" stroked="true" strokeweight=".6pt" strokecolor="#417ef8">
              <v:stroke dashstyle="solid"/>
            </v:line>
            <v:shape style="position:absolute;left:5299;top:150;width:4807;height:2" coordorigin="5299,151" coordsize="4807,0" path="m5299,151l7608,151m7608,151l7795,151m7795,151l10106,151e" filled="false" stroked="true" strokeweight=".48pt" strokecolor="#0000ff">
              <v:path arrowok="t"/>
              <v:stroke dashstyle="solid"/>
            </v:shape>
            <w10:wrap type="none"/>
          </v:group>
        </w:pict>
      </w:r>
      <w:r>
        <w:rPr>
          <w:strike/>
          <w:color w:val="0000FF"/>
        </w:rPr>
        <w:t>（如：</w:t>
      </w:r>
      <w:r>
        <w:rPr>
          <w:rFonts w:ascii="Times New Roman" w:hAnsi="Times New Roman" w:eastAsia="Times New Roman"/>
          <w:strike/>
          <w:color w:val="0000FF"/>
        </w:rPr>
        <w:t>ASTM A1084-15a C </w:t>
      </w:r>
      <w:r>
        <w:rPr>
          <w:strike/>
          <w:color w:val="0000FF"/>
        </w:rPr>
        <w:t>方法）</w:t>
      </w:r>
      <w:r>
        <w:rPr>
          <w:strike w:val="0"/>
        </w:rPr>
        <w:t>进行</w:t>
      </w:r>
      <w:r>
        <w:rPr>
          <w:rFonts w:ascii="Times New Roman" w:hAnsi="Times New Roman" w:eastAsia="Times New Roman"/>
          <w:strike w:val="0"/>
          <w:color w:val="417EF8"/>
        </w:rPr>
        <w:t>,</w:t>
      </w:r>
      <w:r>
        <w:rPr>
          <w:strike w:val="0"/>
          <w:color w:val="0000FF"/>
        </w:rPr>
        <w:t>对节镍型双相不锈钢材料，母材与焊接件的试验温度</w:t>
      </w:r>
      <w:r>
        <w:rPr>
          <w:strike/>
          <w:color w:val="0000FF"/>
        </w:rPr>
        <w:t>为 </w:t>
      </w:r>
      <w:r>
        <w:rPr>
          <w:rFonts w:ascii="Times New Roman" w:hAnsi="Times New Roman" w:eastAsia="Times New Roman"/>
          <w:strike/>
          <w:color w:val="0000FF"/>
        </w:rPr>
        <w:t>25</w:t>
      </w:r>
      <w:r>
        <w:rPr>
          <w:strike/>
          <w:color w:val="0000FF"/>
        </w:rPr>
        <w:t>℃</w:t>
      </w:r>
      <w:r>
        <w:rPr>
          <w:strike w:val="0"/>
        </w:rPr>
        <w:t>。</w:t>
      </w:r>
    </w:p>
    <w:p>
      <w:pPr>
        <w:pStyle w:val="Heading2"/>
        <w:tabs>
          <w:tab w:pos="1281" w:val="left" w:leader="none"/>
        </w:tabs>
        <w:spacing w:before="86"/>
      </w:pPr>
      <w:bookmarkStart w:name="第3章  钢板、扁钢与型钢" w:id="7"/>
      <w:bookmarkEnd w:id="7"/>
      <w:r>
        <w:rPr/>
      </w:r>
      <w:bookmarkStart w:name="_bookmark3" w:id="8"/>
      <w:bookmarkEnd w:id="8"/>
      <w:r>
        <w:rPr/>
      </w:r>
      <w:r>
        <w:rPr/>
        <w:t>第</w:t>
      </w:r>
      <w:r>
        <w:rPr>
          <w:spacing w:val="-80"/>
        </w:rPr>
        <w:t> </w:t>
      </w:r>
      <w:r>
        <w:rPr/>
        <w:t>3</w:t>
      </w:r>
      <w:r>
        <w:rPr>
          <w:spacing w:val="-81"/>
        </w:rPr>
        <w:t> </w:t>
      </w:r>
      <w:r>
        <w:rPr/>
        <w:t>章</w:t>
        <w:tab/>
        <w:t>钢板、扁钢与型钢</w:t>
      </w:r>
    </w:p>
    <w:p>
      <w:pPr>
        <w:pStyle w:val="BodyText"/>
        <w:spacing w:before="1"/>
        <w:rPr>
          <w:rFonts w:ascii="黑体"/>
          <w:sz w:val="43"/>
        </w:rPr>
      </w:pPr>
    </w:p>
    <w:p>
      <w:pPr>
        <w:pStyle w:val="Heading3"/>
        <w:tabs>
          <w:tab w:pos="1121" w:val="left" w:leader="none"/>
        </w:tabs>
      </w:pPr>
      <w:bookmarkStart w:name="第8节  奥氏体不锈钢和双相不锈钢" w:id="9"/>
      <w:bookmarkEnd w:id="9"/>
      <w:r>
        <w:rPr/>
      </w:r>
      <w:bookmarkStart w:name="_bookmark4" w:id="10"/>
      <w:bookmarkEnd w:id="10"/>
      <w:r>
        <w:rPr/>
      </w:r>
      <w:r>
        <w:rPr/>
        <w:t>第</w:t>
      </w:r>
      <w:r>
        <w:rPr>
          <w:spacing w:val="-71"/>
        </w:rPr>
        <w:t> 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-1"/>
        </w:rPr>
        <w:t> </w:t>
      </w:r>
      <w:r>
        <w:rPr/>
        <w:t>节</w:t>
        <w:tab/>
        <w:t>奥</w:t>
      </w:r>
      <w:r>
        <w:rPr>
          <w:spacing w:val="-3"/>
        </w:rPr>
        <w:t>氏</w:t>
      </w:r>
      <w:r>
        <w:rPr/>
        <w:t>体不</w:t>
      </w:r>
      <w:r>
        <w:rPr>
          <w:spacing w:val="-3"/>
        </w:rPr>
        <w:t>锈</w:t>
      </w:r>
      <w:r>
        <w:rPr/>
        <w:t>钢和</w:t>
      </w:r>
      <w:r>
        <w:rPr>
          <w:spacing w:val="-3"/>
        </w:rPr>
        <w:t>双</w:t>
      </w:r>
      <w:r>
        <w:rPr/>
        <w:t>相不</w:t>
      </w:r>
      <w:r>
        <w:rPr>
          <w:spacing w:val="-3"/>
        </w:rPr>
        <w:t>锈</w:t>
      </w:r>
      <w:r>
        <w:rPr/>
        <w:t>钢</w:t>
      </w:r>
    </w:p>
    <w:p>
      <w:pPr>
        <w:pStyle w:val="BodyText"/>
        <w:spacing w:before="3"/>
        <w:rPr>
          <w:rFonts w:ascii="楷体_GB2312"/>
          <w:sz w:val="36"/>
        </w:rPr>
      </w:pPr>
    </w:p>
    <w:p>
      <w:pPr>
        <w:pStyle w:val="BodyText"/>
        <w:tabs>
          <w:tab w:pos="1331" w:val="left" w:leader="none"/>
        </w:tabs>
        <w:spacing w:line="278" w:lineRule="auto" w:before="1"/>
        <w:ind w:left="120" w:right="119" w:firstLine="420"/>
      </w:pPr>
      <w:r>
        <w:rPr>
          <w:rFonts w:ascii="Times New Roman" w:eastAsia="Times New Roman"/>
        </w:rPr>
        <w:t>3.8.7.3</w:t>
        <w:tab/>
      </w:r>
      <w:r>
        <w:rPr/>
        <w:t>节镍型双相不锈钢点蚀试验的试样制备和试验</w:t>
      </w:r>
      <w:r>
        <w:rPr>
          <w:strike/>
          <w:color w:val="0000FF"/>
          <w:spacing w:val="-28"/>
        </w:rPr>
        <w:t>经 </w:t>
      </w:r>
      <w:r>
        <w:rPr>
          <w:rFonts w:ascii="Times New Roman" w:eastAsia="Times New Roman"/>
          <w:strike/>
          <w:color w:val="0000FF"/>
        </w:rPr>
        <w:t>CCS</w:t>
      </w:r>
      <w:r>
        <w:rPr>
          <w:rFonts w:ascii="Times New Roman" w:eastAsia="Times New Roman"/>
          <w:strike/>
          <w:color w:val="0000FF"/>
          <w:spacing w:val="1"/>
        </w:rPr>
        <w:t> </w:t>
      </w:r>
      <w:r>
        <w:rPr>
          <w:strike/>
          <w:color w:val="0000FF"/>
        </w:rPr>
        <w:t>特殊考虑并同意后，</w:t>
      </w:r>
      <w:r>
        <w:rPr>
          <w:strike w:val="0"/>
          <w:color w:val="0000FF"/>
          <w:u w:val="single" w:color="0000FF"/>
        </w:rPr>
        <w:t>应</w:t>
      </w:r>
      <w:r>
        <w:rPr>
          <w:strike w:val="0"/>
        </w:rPr>
        <w:t>参照</w:t>
      </w:r>
      <w:r>
        <w:rPr>
          <w:rFonts w:ascii="Times New Roman" w:eastAsia="Times New Roman"/>
          <w:strike w:val="0"/>
          <w:color w:val="0000FF"/>
          <w:spacing w:val="-52"/>
        </w:rPr>
        <w:t> </w:t>
      </w:r>
      <w:r>
        <w:rPr>
          <w:rFonts w:ascii="Times New Roman" w:eastAsia="Times New Roman"/>
          <w:strike w:val="0"/>
          <w:color w:val="0000FF"/>
          <w:u w:val="single" w:color="0000FF"/>
        </w:rPr>
        <w:t>CCS</w:t>
      </w:r>
      <w:r>
        <w:rPr>
          <w:strike w:val="0"/>
          <w:color w:val="0000FF"/>
          <w:u w:val="single" w:color="0000FF"/>
        </w:rPr>
        <w:t>《节镍双相不锈钢检验指南》的要求</w:t>
      </w:r>
      <w:r>
        <w:rPr>
          <w:rFonts w:ascii="Times New Roman" w:eastAsia="Times New Roman"/>
          <w:strike w:val="0"/>
          <w:color w:val="0000FF"/>
          <w:spacing w:val="-52"/>
        </w:rPr>
        <w:t> </w:t>
      </w:r>
      <w:r>
        <w:rPr>
          <w:rFonts w:ascii="Times New Roman" w:eastAsia="Times New Roman"/>
          <w:strike/>
          <w:color w:val="0000FF"/>
        </w:rPr>
        <w:t>ASTM</w:t>
      </w:r>
      <w:r>
        <w:rPr>
          <w:rFonts w:ascii="Times New Roman" w:eastAsia="Times New Roman"/>
          <w:strike/>
          <w:color w:val="0000FF"/>
          <w:spacing w:val="-13"/>
        </w:rPr>
        <w:t> </w:t>
      </w:r>
      <w:r>
        <w:rPr>
          <w:rFonts w:ascii="Times New Roman" w:eastAsia="Times New Roman"/>
          <w:strike/>
          <w:color w:val="0000FF"/>
        </w:rPr>
        <w:t>A1084-15a C</w:t>
      </w:r>
      <w:r>
        <w:rPr>
          <w:rFonts w:ascii="Times New Roman" w:eastAsia="Times New Roman"/>
          <w:strike/>
          <w:color w:val="0000FF"/>
          <w:spacing w:val="-2"/>
        </w:rPr>
        <w:t> </w:t>
      </w:r>
      <w:r>
        <w:rPr>
          <w:strike/>
          <w:color w:val="0000FF"/>
        </w:rPr>
        <w:t>方法的标准</w:t>
      </w:r>
      <w:r>
        <w:rPr>
          <w:strike w:val="0"/>
        </w:rPr>
        <w:t>进行。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64"/>
        <w:ind w:left="0" w:right="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sectPr>
      <w:pgSz w:w="11910" w:h="16840"/>
      <w:pgMar w:top="15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楷体_GB2312">
    <w:altName w:val="楷体_GB2312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TOC1" w:type="paragraph">
    <w:name w:val="TOC 1"/>
    <w:basedOn w:val="Normal"/>
    <w:uiPriority w:val="1"/>
    <w:qFormat/>
    <w:pPr>
      <w:spacing w:before="439"/>
      <w:ind w:left="120"/>
    </w:pPr>
    <w:rPr>
      <w:rFonts w:ascii="宋体" w:hAnsi="宋体" w:eastAsia="宋体" w:cs="宋体"/>
      <w:sz w:val="21"/>
      <w:szCs w:val="21"/>
      <w:lang w:val="en-US" w:eastAsia="zh-CN" w:bidi="ar-SA"/>
    </w:rPr>
  </w:style>
  <w:style w:styleId="TOC2" w:type="paragraph">
    <w:name w:val="TOC 2"/>
    <w:basedOn w:val="Normal"/>
    <w:uiPriority w:val="1"/>
    <w:qFormat/>
    <w:pPr>
      <w:spacing w:before="43"/>
      <w:ind w:left="540"/>
    </w:pPr>
    <w:rPr>
      <w:rFonts w:ascii="宋体" w:hAnsi="宋体" w:eastAsia="宋体" w:cs="宋体"/>
      <w:sz w:val="21"/>
      <w:szCs w:val="21"/>
      <w:lang w:val="en-US" w:eastAsia="zh-CN" w:bidi="ar-SA"/>
    </w:rPr>
  </w:style>
  <w:style w:styleId="TOC3" w:type="paragraph">
    <w:name w:val="TOC 3"/>
    <w:basedOn w:val="Normal"/>
    <w:uiPriority w:val="1"/>
    <w:qFormat/>
    <w:pPr>
      <w:spacing w:before="43"/>
      <w:ind w:left="960"/>
    </w:pPr>
    <w:rPr>
      <w:rFonts w:ascii="宋体" w:hAnsi="宋体" w:eastAsia="宋体" w:cs="宋体"/>
      <w:sz w:val="21"/>
      <w:szCs w:val="21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1"/>
      <w:jc w:val="center"/>
      <w:outlineLvl w:val="1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styleId="Heading2" w:type="paragraph">
    <w:name w:val="Heading 2"/>
    <w:basedOn w:val="Normal"/>
    <w:uiPriority w:val="1"/>
    <w:qFormat/>
    <w:pPr>
      <w:spacing w:before="54"/>
      <w:jc w:val="center"/>
      <w:outlineLvl w:val="2"/>
    </w:pPr>
    <w:rPr>
      <w:rFonts w:ascii="黑体" w:hAnsi="黑体" w:eastAsia="黑体" w:cs="黑体"/>
      <w:sz w:val="32"/>
      <w:szCs w:val="32"/>
      <w:lang w:val="en-US" w:eastAsia="zh-CN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楷体_GB2312" w:hAnsi="楷体_GB2312" w:eastAsia="楷体_GB2312" w:cs="楷体_GB2312"/>
      <w:sz w:val="28"/>
      <w:szCs w:val="2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汪敏</dc:creator>
  <dcterms:created xsi:type="dcterms:W3CDTF">2024-02-29T02:40:54Z</dcterms:created>
  <dcterms:modified xsi:type="dcterms:W3CDTF">2024-02-29T02:40:54Z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Foxit PDF </vt:lpwstr>
  </property>
  <property fmtid="{D5CDD505-2E9C-101B-9397-08002B2CF9AE}" pid="4" name="LastSaved">
    <vt:filetime>2024-02-29T00:00:00Z</vt:filetime>
  </property>
</Properties>
</file>